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7EF4" w:rsidRPr="00296F77" w:rsidRDefault="009F7EF4" w:rsidP="009F7EF4">
      <w:pPr>
        <w:jc w:val="center"/>
        <w:rPr>
          <w:b/>
          <w:sz w:val="20"/>
          <w:szCs w:val="20"/>
          <w:u w:val="single"/>
          <w:lang w:val="es-MX"/>
        </w:rPr>
      </w:pPr>
      <w:bookmarkStart w:id="0" w:name="_GoBack"/>
      <w:r w:rsidRPr="006319CB">
        <w:rPr>
          <w:b/>
          <w:sz w:val="20"/>
          <w:szCs w:val="20"/>
          <w:u w:val="single"/>
          <w:lang w:val="es-CR"/>
        </w:rPr>
        <w:t xml:space="preserve">Caso </w:t>
      </w:r>
      <w:proofErr w:type="spellStart"/>
      <w:r w:rsidR="006663F3" w:rsidRPr="006319CB">
        <w:rPr>
          <w:b/>
          <w:sz w:val="20"/>
          <w:szCs w:val="20"/>
          <w:u w:val="single"/>
          <w:lang w:val="es-CR"/>
        </w:rPr>
        <w:t>Herzog</w:t>
      </w:r>
      <w:proofErr w:type="spellEnd"/>
      <w:r w:rsidR="006663F3" w:rsidRPr="006319CB">
        <w:rPr>
          <w:b/>
          <w:sz w:val="20"/>
          <w:szCs w:val="20"/>
          <w:u w:val="single"/>
          <w:lang w:val="es-CR"/>
        </w:rPr>
        <w:t xml:space="preserve"> y otros</w:t>
      </w:r>
      <w:r w:rsidRPr="006319CB">
        <w:rPr>
          <w:b/>
          <w:sz w:val="20"/>
          <w:szCs w:val="20"/>
          <w:u w:val="single"/>
          <w:lang w:val="es-CR"/>
        </w:rPr>
        <w:t xml:space="preserve"> Vs. </w:t>
      </w:r>
      <w:r w:rsidRPr="006319CB">
        <w:rPr>
          <w:b/>
          <w:sz w:val="20"/>
          <w:szCs w:val="20"/>
          <w:u w:val="single"/>
          <w:lang w:val="es-MX"/>
        </w:rPr>
        <w:t>Brasil:</w:t>
      </w:r>
      <w:r w:rsidRPr="00296F77">
        <w:rPr>
          <w:b/>
          <w:sz w:val="20"/>
          <w:szCs w:val="20"/>
          <w:u w:val="single"/>
          <w:lang w:val="es-MX"/>
        </w:rPr>
        <w:t xml:space="preserve"> </w:t>
      </w:r>
      <w:bookmarkEnd w:id="0"/>
      <w:r w:rsidRPr="00296F77">
        <w:rPr>
          <w:b/>
          <w:sz w:val="20"/>
          <w:szCs w:val="20"/>
          <w:u w:val="single"/>
          <w:lang w:val="es-MX"/>
        </w:rPr>
        <w:t xml:space="preserve">reparaciones </w:t>
      </w:r>
      <w:r w:rsidR="006663F3">
        <w:rPr>
          <w:b/>
          <w:sz w:val="20"/>
          <w:szCs w:val="20"/>
          <w:u w:val="single"/>
          <w:lang w:val="es-MX"/>
        </w:rPr>
        <w:t>declaradas cumplidas</w:t>
      </w:r>
    </w:p>
    <w:p w:rsidR="006E7F48" w:rsidRPr="00296F77" w:rsidRDefault="00DF76B7"/>
    <w:p w:rsidR="00C4747D" w:rsidRPr="00C77C0C" w:rsidRDefault="00C4747D" w:rsidP="00C77C0C">
      <w:pPr>
        <w:rPr>
          <w:sz w:val="20"/>
          <w:szCs w:val="20"/>
        </w:rPr>
      </w:pPr>
    </w:p>
    <w:p w:rsidR="00C4747D" w:rsidRDefault="00C4747D" w:rsidP="006663F3">
      <w:pPr>
        <w:pStyle w:val="Prrafodelista"/>
        <w:numPr>
          <w:ilvl w:val="3"/>
          <w:numId w:val="7"/>
        </w:numPr>
        <w:tabs>
          <w:tab w:val="left" w:pos="720"/>
        </w:tabs>
        <w:ind w:left="0" w:right="-90" w:firstLine="0"/>
        <w:contextualSpacing w:val="0"/>
        <w:jc w:val="both"/>
        <w:rPr>
          <w:sz w:val="20"/>
          <w:szCs w:val="20"/>
        </w:rPr>
      </w:pPr>
      <w:r w:rsidRPr="006663F3">
        <w:rPr>
          <w:rFonts w:eastAsia="Cambria" w:cs="Times New Roman"/>
          <w:bCs/>
          <w:sz w:val="20"/>
          <w:szCs w:val="20"/>
          <w:lang w:val="es-ES"/>
        </w:rPr>
        <w:t>P</w:t>
      </w:r>
      <w:r w:rsidR="006663F3" w:rsidRPr="006663F3">
        <w:rPr>
          <w:rFonts w:eastAsia="Cambria" w:cs="Times New Roman"/>
          <w:bCs/>
          <w:sz w:val="20"/>
          <w:szCs w:val="20"/>
          <w:lang w:val="es-ES"/>
        </w:rPr>
        <w:t>agar</w:t>
      </w:r>
      <w:r w:rsidR="006663F3" w:rsidRPr="006663F3">
        <w:rPr>
          <w:sz w:val="20"/>
          <w:szCs w:val="20"/>
        </w:rPr>
        <w:t xml:space="preserve"> la cantidad fijada</w:t>
      </w:r>
      <w:r w:rsidRPr="006663F3">
        <w:rPr>
          <w:sz w:val="20"/>
          <w:szCs w:val="20"/>
        </w:rPr>
        <w:t xml:space="preserve"> en </w:t>
      </w:r>
      <w:r w:rsidR="006663F3" w:rsidRPr="006663F3">
        <w:rPr>
          <w:sz w:val="20"/>
          <w:szCs w:val="20"/>
        </w:rPr>
        <w:t>el párrafo</w:t>
      </w:r>
      <w:r w:rsidRPr="006663F3">
        <w:rPr>
          <w:sz w:val="20"/>
          <w:szCs w:val="20"/>
        </w:rPr>
        <w:t xml:space="preserve"> </w:t>
      </w:r>
      <w:r w:rsidR="006663F3" w:rsidRPr="006663F3">
        <w:rPr>
          <w:sz w:val="20"/>
          <w:szCs w:val="20"/>
        </w:rPr>
        <w:t>403</w:t>
      </w:r>
      <w:r w:rsidRPr="006663F3">
        <w:rPr>
          <w:sz w:val="20"/>
          <w:szCs w:val="20"/>
        </w:rPr>
        <w:t xml:space="preserve"> de la presente Sentencia, por </w:t>
      </w:r>
      <w:r w:rsidR="006663F3" w:rsidRPr="006663F3">
        <w:rPr>
          <w:sz w:val="20"/>
          <w:szCs w:val="20"/>
        </w:rPr>
        <w:t>el reintegro de</w:t>
      </w:r>
      <w:r w:rsidR="006663F3">
        <w:rPr>
          <w:sz w:val="20"/>
          <w:szCs w:val="20"/>
        </w:rPr>
        <w:t xml:space="preserve"> </w:t>
      </w:r>
      <w:r w:rsidR="006663F3" w:rsidRPr="006663F3">
        <w:rPr>
          <w:sz w:val="20"/>
          <w:szCs w:val="20"/>
        </w:rPr>
        <w:t>costas y gastos; en los términos de los párrafos 410 a 415 de la Sentencia</w:t>
      </w:r>
      <w:r w:rsidR="006663F3">
        <w:rPr>
          <w:sz w:val="20"/>
          <w:szCs w:val="20"/>
        </w:rPr>
        <w:t>.</w:t>
      </w:r>
    </w:p>
    <w:p w:rsidR="006319CB" w:rsidRDefault="006319CB" w:rsidP="006319CB">
      <w:pPr>
        <w:pStyle w:val="Prrafodelista"/>
        <w:tabs>
          <w:tab w:val="left" w:pos="720"/>
        </w:tabs>
        <w:ind w:left="0" w:right="-90"/>
        <w:contextualSpacing w:val="0"/>
        <w:jc w:val="both"/>
        <w:rPr>
          <w:sz w:val="20"/>
          <w:szCs w:val="20"/>
        </w:rPr>
      </w:pPr>
    </w:p>
    <w:p w:rsidR="006319CB" w:rsidRPr="006319CB" w:rsidRDefault="006319CB" w:rsidP="006319CB">
      <w:pPr>
        <w:pStyle w:val="Prrafodelista"/>
        <w:numPr>
          <w:ilvl w:val="3"/>
          <w:numId w:val="7"/>
        </w:numPr>
        <w:tabs>
          <w:tab w:val="left" w:pos="720"/>
        </w:tabs>
        <w:ind w:left="0" w:right="-90" w:firstLine="0"/>
        <w:contextualSpacing w:val="0"/>
        <w:jc w:val="both"/>
        <w:rPr>
          <w:rFonts w:eastAsia="Cambria" w:cs="Times New Roman"/>
          <w:bCs/>
          <w:sz w:val="20"/>
          <w:szCs w:val="20"/>
          <w:lang w:val="es-ES"/>
        </w:rPr>
      </w:pPr>
      <w:r>
        <w:rPr>
          <w:rFonts w:eastAsia="Cambria" w:cs="Times New Roman"/>
          <w:bCs/>
          <w:sz w:val="20"/>
          <w:szCs w:val="20"/>
          <w:lang w:val="es-ES"/>
        </w:rPr>
        <w:t>R</w:t>
      </w:r>
      <w:r w:rsidRPr="002E376C">
        <w:rPr>
          <w:rFonts w:eastAsia="Cambria" w:cs="Times New Roman"/>
          <w:bCs/>
          <w:sz w:val="20"/>
          <w:szCs w:val="20"/>
          <w:lang w:val="es-ES"/>
        </w:rPr>
        <w:t xml:space="preserve">eintegrar al Fondo de Asistencia Legal de Víctimas de la Corte Interamericana de Derechos Humanos la cantidad erogada durante la tramitación del caso, en los términos del párrafo 409 de </w:t>
      </w:r>
      <w:r>
        <w:rPr>
          <w:rFonts w:eastAsia="Cambria" w:cs="Times New Roman"/>
          <w:bCs/>
          <w:sz w:val="20"/>
          <w:szCs w:val="20"/>
          <w:lang w:val="es-ES"/>
        </w:rPr>
        <w:t>la</w:t>
      </w:r>
      <w:r w:rsidRPr="002E376C">
        <w:rPr>
          <w:rFonts w:eastAsia="Cambria" w:cs="Times New Roman"/>
          <w:bCs/>
          <w:sz w:val="20"/>
          <w:szCs w:val="20"/>
          <w:lang w:val="es-ES"/>
        </w:rPr>
        <w:t xml:space="preserve"> Sentencia.</w:t>
      </w:r>
    </w:p>
    <w:p w:rsidR="006663F3" w:rsidRDefault="006663F3" w:rsidP="006663F3">
      <w:pPr>
        <w:jc w:val="both"/>
        <w:rPr>
          <w:sz w:val="20"/>
          <w:szCs w:val="20"/>
        </w:rPr>
      </w:pPr>
    </w:p>
    <w:p w:rsidR="006663F3" w:rsidRDefault="006663F3" w:rsidP="006663F3">
      <w:pPr>
        <w:jc w:val="both"/>
        <w:rPr>
          <w:b/>
          <w:sz w:val="20"/>
          <w:szCs w:val="20"/>
          <w:lang w:val="es-ES"/>
        </w:rPr>
      </w:pPr>
      <w:r>
        <w:rPr>
          <w:b/>
          <w:sz w:val="20"/>
          <w:szCs w:val="20"/>
          <w:lang w:val="es-ES"/>
        </w:rPr>
        <w:t>Cumplimiento parcial:</w:t>
      </w:r>
    </w:p>
    <w:p w:rsidR="006663F3" w:rsidRDefault="006663F3" w:rsidP="006663F3">
      <w:pPr>
        <w:jc w:val="both"/>
        <w:rPr>
          <w:b/>
          <w:sz w:val="20"/>
          <w:szCs w:val="20"/>
          <w:lang w:val="es-ES"/>
        </w:rPr>
      </w:pPr>
    </w:p>
    <w:p w:rsidR="006663F3" w:rsidRDefault="006663F3" w:rsidP="006663F3">
      <w:pPr>
        <w:pStyle w:val="Prrafodelista"/>
        <w:numPr>
          <w:ilvl w:val="3"/>
          <w:numId w:val="7"/>
        </w:numPr>
        <w:tabs>
          <w:tab w:val="left" w:pos="720"/>
        </w:tabs>
        <w:ind w:left="0" w:right="-90" w:firstLine="0"/>
        <w:contextualSpacing w:val="0"/>
        <w:jc w:val="both"/>
        <w:rPr>
          <w:rFonts w:eastAsia="Cambria" w:cs="Times New Roman"/>
          <w:bCs/>
          <w:sz w:val="20"/>
          <w:szCs w:val="20"/>
          <w:lang w:val="es-ES"/>
        </w:rPr>
      </w:pPr>
      <w:r>
        <w:rPr>
          <w:rFonts w:eastAsia="Cambria" w:cs="Times New Roman"/>
          <w:bCs/>
          <w:sz w:val="20"/>
          <w:szCs w:val="20"/>
          <w:lang w:val="es-ES"/>
        </w:rPr>
        <w:t>R</w:t>
      </w:r>
      <w:r w:rsidRPr="002E376C">
        <w:rPr>
          <w:rFonts w:eastAsia="Cambria" w:cs="Times New Roman"/>
          <w:bCs/>
          <w:sz w:val="20"/>
          <w:szCs w:val="20"/>
          <w:lang w:val="es-ES"/>
        </w:rPr>
        <w:t>ealizar las publicaciones indicadas en el párrafo 383 de la Sentencia, en los términos dispuestos en la misma.</w:t>
      </w:r>
    </w:p>
    <w:p w:rsidR="006663F3" w:rsidRDefault="006663F3" w:rsidP="006663F3">
      <w:pPr>
        <w:tabs>
          <w:tab w:val="left" w:pos="720"/>
        </w:tabs>
        <w:ind w:right="-90"/>
        <w:jc w:val="both"/>
        <w:rPr>
          <w:rFonts w:eastAsia="Cambria" w:cs="Times New Roman"/>
          <w:bCs/>
          <w:sz w:val="20"/>
          <w:szCs w:val="20"/>
          <w:lang w:val="es-ES"/>
        </w:rPr>
      </w:pPr>
    </w:p>
    <w:p w:rsidR="006663F3" w:rsidRDefault="006663F3" w:rsidP="006663F3">
      <w:pPr>
        <w:tabs>
          <w:tab w:val="left" w:pos="720"/>
        </w:tabs>
        <w:ind w:right="-90"/>
        <w:jc w:val="both"/>
        <w:rPr>
          <w:rFonts w:eastAsia="Cambria" w:cs="Times New Roman"/>
          <w:bCs/>
          <w:sz w:val="20"/>
          <w:szCs w:val="20"/>
          <w:lang w:val="es-ES"/>
        </w:rPr>
      </w:pPr>
      <w:r>
        <w:rPr>
          <w:rFonts w:eastAsia="Cambria" w:cs="Times New Roman"/>
          <w:bCs/>
          <w:sz w:val="20"/>
          <w:szCs w:val="20"/>
          <w:lang w:val="es-ES"/>
        </w:rPr>
        <w:t xml:space="preserve">En los considerandos 24 y 25 de la resolución de 30 de abril de 2021, se explica </w:t>
      </w:r>
      <w:r w:rsidRPr="00AA6B2F">
        <w:rPr>
          <w:rFonts w:eastAsia="Cambria" w:cs="Times New Roman"/>
          <w:bCs/>
          <w:sz w:val="20"/>
          <w:szCs w:val="20"/>
          <w:lang w:val="es-ES"/>
        </w:rPr>
        <w:t>lo que continúa pendiente de cumplimiento respecto a la presente medida de reparación:</w:t>
      </w:r>
    </w:p>
    <w:p w:rsidR="006663F3" w:rsidRDefault="006663F3" w:rsidP="006663F3">
      <w:pPr>
        <w:tabs>
          <w:tab w:val="left" w:pos="720"/>
        </w:tabs>
        <w:ind w:right="-90"/>
        <w:jc w:val="both"/>
        <w:rPr>
          <w:rFonts w:eastAsia="Cambria" w:cs="Times New Roman"/>
          <w:bCs/>
          <w:sz w:val="20"/>
          <w:szCs w:val="20"/>
          <w:lang w:val="es-ES"/>
        </w:rPr>
      </w:pPr>
    </w:p>
    <w:p w:rsidR="006663F3" w:rsidRPr="00AA6B2F" w:rsidRDefault="006663F3" w:rsidP="006663F3">
      <w:pPr>
        <w:tabs>
          <w:tab w:val="left" w:pos="720"/>
        </w:tabs>
        <w:ind w:left="567" w:right="567"/>
        <w:jc w:val="both"/>
        <w:rPr>
          <w:rFonts w:eastAsia="Cambria" w:cs="Times New Roman"/>
          <w:bCs/>
          <w:sz w:val="18"/>
          <w:szCs w:val="20"/>
        </w:rPr>
      </w:pPr>
      <w:r w:rsidRPr="00AA6B2F">
        <w:rPr>
          <w:rFonts w:eastAsia="Cambria" w:cs="Times New Roman"/>
          <w:bCs/>
          <w:sz w:val="18"/>
          <w:szCs w:val="20"/>
        </w:rPr>
        <w:t>24. La Corte ha constatado, con base en lo informado por el Estado y no controvertido por los representantes, que éste cumplió con publicar la Sentencia en su integridad y su resumen,</w:t>
      </w:r>
      <w:r w:rsidRPr="00AA6B2F">
        <w:rPr>
          <w:sz w:val="14"/>
        </w:rPr>
        <w:t xml:space="preserve"> </w:t>
      </w:r>
      <w:r w:rsidRPr="00AA6B2F">
        <w:rPr>
          <w:rFonts w:eastAsia="Cambria" w:cs="Times New Roman"/>
          <w:bCs/>
          <w:sz w:val="18"/>
          <w:szCs w:val="20"/>
        </w:rPr>
        <w:t>al menos por un período de un año, en el sitio web oficial del actual Ministerio de la Mujer, Familia y Derechos Humanos, así como con su divulgación en redes sociales.</w:t>
      </w:r>
    </w:p>
    <w:p w:rsidR="006663F3" w:rsidRPr="00AA6B2F" w:rsidRDefault="006663F3" w:rsidP="006663F3">
      <w:pPr>
        <w:tabs>
          <w:tab w:val="left" w:pos="720"/>
        </w:tabs>
        <w:ind w:left="567" w:right="567"/>
        <w:jc w:val="both"/>
        <w:rPr>
          <w:rFonts w:eastAsia="Cambria" w:cs="Times New Roman"/>
          <w:bCs/>
          <w:sz w:val="18"/>
          <w:szCs w:val="20"/>
        </w:rPr>
      </w:pPr>
    </w:p>
    <w:p w:rsidR="006663F3" w:rsidRPr="00AA6B2F" w:rsidRDefault="006663F3" w:rsidP="006663F3">
      <w:pPr>
        <w:tabs>
          <w:tab w:val="left" w:pos="720"/>
        </w:tabs>
        <w:ind w:left="567" w:right="567"/>
        <w:jc w:val="both"/>
        <w:rPr>
          <w:rFonts w:eastAsia="Cambria" w:cs="Times New Roman"/>
          <w:bCs/>
          <w:sz w:val="18"/>
          <w:szCs w:val="20"/>
        </w:rPr>
      </w:pPr>
      <w:r w:rsidRPr="00AA6B2F">
        <w:rPr>
          <w:rFonts w:eastAsia="Cambria" w:cs="Times New Roman"/>
          <w:bCs/>
          <w:sz w:val="18"/>
          <w:szCs w:val="20"/>
        </w:rPr>
        <w:t>25. En virtud de lo anterior, queda pendiente de cumplimiento la publicación de la Sentencia en su integridad en el Diario Oficial; el resumen oficial de la Sentencia en un diario de amplia circulación a nivel nacional, y la Sentencia en su integridad y su resumen en el sitio web oficial del Ejército brasileño. Debido a que el plazo para el cumplimiento de estas medidas venció el 7 de enero de 2019, se requiere al Estado que dé cumplimiento a la mayor brevedad.</w:t>
      </w:r>
    </w:p>
    <w:p w:rsidR="006663F3" w:rsidRPr="006663F3" w:rsidRDefault="006663F3" w:rsidP="006663F3">
      <w:pPr>
        <w:jc w:val="both"/>
        <w:rPr>
          <w:sz w:val="20"/>
          <w:szCs w:val="20"/>
        </w:rPr>
      </w:pPr>
    </w:p>
    <w:p w:rsidR="00D3440D" w:rsidRPr="00C4747D" w:rsidRDefault="00D3440D" w:rsidP="00D3440D">
      <w:pPr>
        <w:jc w:val="both"/>
        <w:rPr>
          <w:sz w:val="20"/>
          <w:szCs w:val="20"/>
        </w:rPr>
      </w:pPr>
    </w:p>
    <w:sectPr w:rsidR="00D3440D" w:rsidRPr="00C4747D">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76B7" w:rsidRDefault="00DF76B7" w:rsidP="009F7EF4">
      <w:r>
        <w:separator/>
      </w:r>
    </w:p>
  </w:endnote>
  <w:endnote w:type="continuationSeparator" w:id="0">
    <w:p w:rsidR="00DF76B7" w:rsidRDefault="00DF76B7" w:rsidP="009F7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00000000"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7EF4" w:rsidRDefault="009F7EF4" w:rsidP="009F7EF4">
    <w:pPr>
      <w:pStyle w:val="Piedepgina"/>
      <w:jc w:val="both"/>
    </w:pPr>
    <w:r>
      <w:rPr>
        <w:bCs/>
        <w:szCs w:val="16"/>
        <w:lang w:val="es-MX"/>
      </w:rPr>
      <w:t xml:space="preserve">La presente sistematización de información fue </w:t>
    </w:r>
    <w:r w:rsidR="00AE0035">
      <w:rPr>
        <w:bCs/>
        <w:szCs w:val="16"/>
        <w:lang w:val="es-MX"/>
      </w:rPr>
      <w:t>realizada</w:t>
    </w:r>
    <w:r>
      <w:rPr>
        <w:bCs/>
        <w:szCs w:val="16"/>
        <w:lang w:val="es-MX"/>
      </w:rPr>
      <w:t xml:space="preserve"> 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p w:rsidR="009F7EF4" w:rsidRDefault="009F7EF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76B7" w:rsidRDefault="00DF76B7" w:rsidP="009F7EF4">
      <w:r>
        <w:separator/>
      </w:r>
    </w:p>
  </w:footnote>
  <w:footnote w:type="continuationSeparator" w:id="0">
    <w:p w:rsidR="00DF76B7" w:rsidRDefault="00DF76B7" w:rsidP="009F7E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0897709"/>
      <w:docPartObj>
        <w:docPartGallery w:val="Page Numbers (Top of Page)"/>
        <w:docPartUnique/>
      </w:docPartObj>
    </w:sdtPr>
    <w:sdtEndPr>
      <w:rPr>
        <w:noProof/>
        <w:sz w:val="20"/>
        <w:szCs w:val="20"/>
      </w:rPr>
    </w:sdtEndPr>
    <w:sdtContent>
      <w:p w:rsidR="001426AA" w:rsidRPr="00675FE7" w:rsidRDefault="001426AA" w:rsidP="001426AA">
        <w:pPr>
          <w:pStyle w:val="Encabezado"/>
          <w:jc w:val="right"/>
          <w:rPr>
            <w:sz w:val="20"/>
            <w:szCs w:val="20"/>
          </w:rPr>
        </w:pPr>
        <w:r w:rsidRPr="00675FE7">
          <w:rPr>
            <w:sz w:val="20"/>
            <w:szCs w:val="20"/>
          </w:rPr>
          <w:fldChar w:fldCharType="begin"/>
        </w:r>
        <w:r w:rsidRPr="00675FE7">
          <w:rPr>
            <w:sz w:val="20"/>
            <w:szCs w:val="20"/>
          </w:rPr>
          <w:instrText xml:space="preserve"> PAGE   \* MERGEFORMAT </w:instrText>
        </w:r>
        <w:r w:rsidRPr="00675FE7">
          <w:rPr>
            <w:sz w:val="20"/>
            <w:szCs w:val="20"/>
          </w:rPr>
          <w:fldChar w:fldCharType="separate"/>
        </w:r>
        <w:r w:rsidR="006319CB">
          <w:rPr>
            <w:noProof/>
            <w:sz w:val="20"/>
            <w:szCs w:val="20"/>
          </w:rPr>
          <w:t>1</w:t>
        </w:r>
        <w:r w:rsidRPr="00675FE7">
          <w:rPr>
            <w:noProof/>
            <w:sz w:val="20"/>
            <w:szCs w:val="20"/>
          </w:rPr>
          <w:fldChar w:fldCharType="end"/>
        </w:r>
      </w:p>
    </w:sdtContent>
  </w:sdt>
  <w:p w:rsidR="001426AA" w:rsidRDefault="001426A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E221D"/>
    <w:multiLevelType w:val="hybridMultilevel"/>
    <w:tmpl w:val="E5243634"/>
    <w:lvl w:ilvl="0" w:tplc="CDCEF9D6">
      <w:start w:val="89"/>
      <w:numFmt w:val="decimal"/>
      <w:lvlText w:val="%1."/>
      <w:lvlJc w:val="left"/>
      <w:pPr>
        <w:ind w:left="360" w:hanging="360"/>
      </w:pPr>
      <w:rPr>
        <w:rFonts w:ascii="Verdana" w:hAnsi="Verdana" w:hint="default"/>
        <w:b w:val="0"/>
        <w:i w:val="0"/>
        <w:color w:val="auto"/>
        <w:sz w:val="20"/>
        <w:szCs w:val="2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2AEC4F1B"/>
    <w:multiLevelType w:val="hybridMultilevel"/>
    <w:tmpl w:val="EDE2B76C"/>
    <w:lvl w:ilvl="0" w:tplc="431A9310">
      <w:start w:val="116"/>
      <w:numFmt w:val="decimal"/>
      <w:lvlText w:val="%1."/>
      <w:lvlJc w:val="left"/>
      <w:pPr>
        <w:ind w:left="720" w:hanging="360"/>
      </w:pPr>
      <w:rPr>
        <w:rFonts w:ascii="Verdana" w:hAnsi="Verdana" w:hint="default"/>
        <w:b w:val="0"/>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734F52"/>
    <w:multiLevelType w:val="hybridMultilevel"/>
    <w:tmpl w:val="ABD8259C"/>
    <w:lvl w:ilvl="0" w:tplc="23F6FA6A">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19B489A"/>
    <w:multiLevelType w:val="hybridMultilevel"/>
    <w:tmpl w:val="07C678D4"/>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76753A80"/>
    <w:multiLevelType w:val="hybridMultilevel"/>
    <w:tmpl w:val="D6306E5C"/>
    <w:lvl w:ilvl="0" w:tplc="16D40AFE">
      <w:start w:val="1"/>
      <w:numFmt w:val="decimal"/>
      <w:lvlText w:val="%1."/>
      <w:lvlJc w:val="left"/>
      <w:pPr>
        <w:ind w:left="0" w:firstLine="0"/>
      </w:pPr>
      <w:rPr>
        <w:rFonts w:ascii="Verdana" w:hAnsi="Verdana" w:hint="default"/>
        <w:b w:val="0"/>
        <w:i w:val="0"/>
        <w:strike w:val="0"/>
        <w:dstrike w:val="0"/>
        <w:color w:val="auto"/>
        <w:sz w:val="20"/>
        <w:szCs w:val="20"/>
        <w:u w:val="none"/>
        <w:effect w:val="none"/>
        <w:lang w:val="es-ES_tradnl"/>
      </w:rPr>
    </w:lvl>
    <w:lvl w:ilvl="1" w:tplc="7B389880">
      <w:start w:val="1"/>
      <w:numFmt w:val="lowerLetter"/>
      <w:lvlText w:val="%2."/>
      <w:lvlJc w:val="left"/>
      <w:pPr>
        <w:ind w:left="1298" w:hanging="360"/>
      </w:pPr>
      <w:rPr>
        <w:rFonts w:ascii="Verdana" w:eastAsia="Batang" w:hAnsi="Verdana" w:cs="Times"/>
        <w:i/>
        <w:lang w:val="es-ES_tradnl"/>
      </w:rPr>
    </w:lvl>
    <w:lvl w:ilvl="2" w:tplc="4202A1AC">
      <w:start w:val="1"/>
      <w:numFmt w:val="lowerRoman"/>
      <w:lvlText w:val="%3."/>
      <w:lvlJc w:val="right"/>
      <w:pPr>
        <w:ind w:left="2018" w:hanging="180"/>
      </w:pPr>
      <w:rPr>
        <w:i/>
      </w:rPr>
    </w:lvl>
    <w:lvl w:ilvl="3" w:tplc="591C000E">
      <w:start w:val="1"/>
      <w:numFmt w:val="decimal"/>
      <w:lvlText w:val="%4."/>
      <w:lvlJc w:val="left"/>
      <w:pPr>
        <w:ind w:left="2738" w:hanging="360"/>
      </w:pPr>
      <w:rPr>
        <w:rFonts w:ascii="Verdana" w:hAnsi="Verdana" w:hint="default"/>
        <w:sz w:val="20"/>
        <w:szCs w:val="20"/>
      </w:rPr>
    </w:lvl>
    <w:lvl w:ilvl="4" w:tplc="E7BA4BB6">
      <w:start w:val="1"/>
      <w:numFmt w:val="lowerLetter"/>
      <w:lvlText w:val="%5."/>
      <w:lvlJc w:val="left"/>
      <w:pPr>
        <w:ind w:left="3458" w:hanging="360"/>
      </w:pPr>
    </w:lvl>
    <w:lvl w:ilvl="5" w:tplc="2C0A001B">
      <w:start w:val="1"/>
      <w:numFmt w:val="lowerRoman"/>
      <w:lvlText w:val="%6."/>
      <w:lvlJc w:val="right"/>
      <w:pPr>
        <w:ind w:left="4178" w:hanging="180"/>
      </w:pPr>
    </w:lvl>
    <w:lvl w:ilvl="6" w:tplc="2C0A000F">
      <w:start w:val="1"/>
      <w:numFmt w:val="decimal"/>
      <w:lvlText w:val="%7."/>
      <w:lvlJc w:val="left"/>
      <w:pPr>
        <w:ind w:left="4898" w:hanging="360"/>
      </w:pPr>
    </w:lvl>
    <w:lvl w:ilvl="7" w:tplc="2C0A0019">
      <w:start w:val="1"/>
      <w:numFmt w:val="lowerLetter"/>
      <w:lvlText w:val="%8."/>
      <w:lvlJc w:val="left"/>
      <w:pPr>
        <w:ind w:left="5618" w:hanging="360"/>
      </w:pPr>
    </w:lvl>
    <w:lvl w:ilvl="8" w:tplc="2C0A001B">
      <w:start w:val="1"/>
      <w:numFmt w:val="lowerRoman"/>
      <w:lvlText w:val="%9."/>
      <w:lvlJc w:val="right"/>
      <w:pPr>
        <w:ind w:left="6338" w:hanging="180"/>
      </w:pPr>
    </w:lvl>
  </w:abstractNum>
  <w:abstractNum w:abstractNumId="5" w15:restartNumberingAfterBreak="0">
    <w:nsid w:val="7983635B"/>
    <w:multiLevelType w:val="hybridMultilevel"/>
    <w:tmpl w:val="1CF8DA9A"/>
    <w:lvl w:ilvl="0" w:tplc="AC1C5414">
      <w:start w:val="1"/>
      <w:numFmt w:val="decimal"/>
      <w:lvlText w:val="%1."/>
      <w:lvlJc w:val="left"/>
      <w:pPr>
        <w:ind w:left="2912" w:hanging="360"/>
      </w:pPr>
      <w:rPr>
        <w:rFonts w:ascii="Verdana" w:hAnsi="Verdana" w:hint="default"/>
        <w:b w:val="0"/>
        <w:i w:val="0"/>
        <w:color w:val="auto"/>
        <w:sz w:val="20"/>
        <w:szCs w:val="20"/>
      </w:rPr>
    </w:lvl>
    <w:lvl w:ilvl="1" w:tplc="140A0019" w:tentative="1">
      <w:start w:val="1"/>
      <w:numFmt w:val="lowerLetter"/>
      <w:lvlText w:val="%2."/>
      <w:lvlJc w:val="left"/>
      <w:pPr>
        <w:ind w:left="-7916" w:hanging="360"/>
      </w:pPr>
    </w:lvl>
    <w:lvl w:ilvl="2" w:tplc="140A001B" w:tentative="1">
      <w:start w:val="1"/>
      <w:numFmt w:val="lowerRoman"/>
      <w:lvlText w:val="%3."/>
      <w:lvlJc w:val="right"/>
      <w:pPr>
        <w:ind w:left="-7196" w:hanging="180"/>
      </w:pPr>
    </w:lvl>
    <w:lvl w:ilvl="3" w:tplc="140A000F" w:tentative="1">
      <w:start w:val="1"/>
      <w:numFmt w:val="decimal"/>
      <w:lvlText w:val="%4."/>
      <w:lvlJc w:val="left"/>
      <w:pPr>
        <w:ind w:left="-6476" w:hanging="360"/>
      </w:pPr>
    </w:lvl>
    <w:lvl w:ilvl="4" w:tplc="140A0019" w:tentative="1">
      <w:start w:val="1"/>
      <w:numFmt w:val="lowerLetter"/>
      <w:lvlText w:val="%5."/>
      <w:lvlJc w:val="left"/>
      <w:pPr>
        <w:ind w:left="-5756" w:hanging="360"/>
      </w:pPr>
    </w:lvl>
    <w:lvl w:ilvl="5" w:tplc="140A001B" w:tentative="1">
      <w:start w:val="1"/>
      <w:numFmt w:val="lowerRoman"/>
      <w:lvlText w:val="%6."/>
      <w:lvlJc w:val="right"/>
      <w:pPr>
        <w:ind w:left="-5036" w:hanging="180"/>
      </w:pPr>
    </w:lvl>
    <w:lvl w:ilvl="6" w:tplc="140A000F" w:tentative="1">
      <w:start w:val="1"/>
      <w:numFmt w:val="decimal"/>
      <w:lvlText w:val="%7."/>
      <w:lvlJc w:val="left"/>
      <w:pPr>
        <w:ind w:left="-4316" w:hanging="360"/>
      </w:pPr>
    </w:lvl>
    <w:lvl w:ilvl="7" w:tplc="140A0019" w:tentative="1">
      <w:start w:val="1"/>
      <w:numFmt w:val="lowerLetter"/>
      <w:lvlText w:val="%8."/>
      <w:lvlJc w:val="left"/>
      <w:pPr>
        <w:ind w:left="-3596" w:hanging="360"/>
      </w:pPr>
    </w:lvl>
    <w:lvl w:ilvl="8" w:tplc="140A001B" w:tentative="1">
      <w:start w:val="1"/>
      <w:numFmt w:val="lowerRoman"/>
      <w:lvlText w:val="%9."/>
      <w:lvlJc w:val="right"/>
      <w:pPr>
        <w:ind w:left="-2876" w:hanging="180"/>
      </w:pPr>
    </w:lvl>
  </w:abstractNum>
  <w:abstractNum w:abstractNumId="6" w15:restartNumberingAfterBreak="0">
    <w:nsid w:val="7EA012FB"/>
    <w:multiLevelType w:val="hybridMultilevel"/>
    <w:tmpl w:val="CC1E4C64"/>
    <w:lvl w:ilvl="0" w:tplc="FC260292">
      <w:start w:val="7"/>
      <w:numFmt w:val="decimal"/>
      <w:lvlText w:val="%1."/>
      <w:lvlJc w:val="left"/>
      <w:pPr>
        <w:ind w:left="72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
  </w:num>
  <w:num w:numId="3">
    <w:abstractNumId w:val="5"/>
  </w:num>
  <w:num w:numId="4">
    <w:abstractNumId w:val="0"/>
  </w:num>
  <w:num w:numId="5">
    <w:abstractNumId w:val="1"/>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EF4"/>
    <w:rsid w:val="000930F6"/>
    <w:rsid w:val="00101CC6"/>
    <w:rsid w:val="001426AA"/>
    <w:rsid w:val="00296F77"/>
    <w:rsid w:val="002B3295"/>
    <w:rsid w:val="003A7E5E"/>
    <w:rsid w:val="003C561A"/>
    <w:rsid w:val="00474D04"/>
    <w:rsid w:val="00476F6E"/>
    <w:rsid w:val="005C68A4"/>
    <w:rsid w:val="005D1A85"/>
    <w:rsid w:val="00617B3E"/>
    <w:rsid w:val="006319CB"/>
    <w:rsid w:val="006663F3"/>
    <w:rsid w:val="006C38A6"/>
    <w:rsid w:val="006F2690"/>
    <w:rsid w:val="00774B82"/>
    <w:rsid w:val="00926FFB"/>
    <w:rsid w:val="009832C0"/>
    <w:rsid w:val="009D22BE"/>
    <w:rsid w:val="009F7EF4"/>
    <w:rsid w:val="00A07758"/>
    <w:rsid w:val="00AE0035"/>
    <w:rsid w:val="00B11B9B"/>
    <w:rsid w:val="00B32A37"/>
    <w:rsid w:val="00BA6BA9"/>
    <w:rsid w:val="00BC5824"/>
    <w:rsid w:val="00C4747D"/>
    <w:rsid w:val="00C77C0C"/>
    <w:rsid w:val="00C807CF"/>
    <w:rsid w:val="00D3440D"/>
    <w:rsid w:val="00DF76B7"/>
    <w:rsid w:val="00E42392"/>
    <w:rsid w:val="00E85D9E"/>
    <w:rsid w:val="00F50093"/>
    <w:rsid w:val="00F954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9402B"/>
  <w15:docId w15:val="{035E7DBC-47E4-364E-BEE0-ADFDE69EC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7EF4"/>
    <w:pPr>
      <w:spacing w:after="0" w:line="240" w:lineRule="auto"/>
    </w:pPr>
    <w:rPr>
      <w:rFonts w:ascii="Verdana" w:eastAsia="Batang" w:hAnsi="Verdana" w:cs="Times"/>
      <w:sz w:val="16"/>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F7EF4"/>
    <w:pPr>
      <w:tabs>
        <w:tab w:val="center" w:pos="4680"/>
        <w:tab w:val="right" w:pos="9360"/>
      </w:tabs>
    </w:pPr>
  </w:style>
  <w:style w:type="character" w:customStyle="1" w:styleId="EncabezadoCar">
    <w:name w:val="Encabezado Car"/>
    <w:basedOn w:val="Fuentedeprrafopredeter"/>
    <w:link w:val="Encabezado"/>
    <w:uiPriority w:val="99"/>
    <w:rsid w:val="009F7EF4"/>
    <w:rPr>
      <w:rFonts w:ascii="Verdana" w:eastAsia="Batang" w:hAnsi="Verdana" w:cs="Times"/>
      <w:sz w:val="16"/>
      <w:szCs w:val="24"/>
      <w:lang w:val="es-ES_tradnl"/>
    </w:rPr>
  </w:style>
  <w:style w:type="paragraph" w:styleId="Piedepgina">
    <w:name w:val="footer"/>
    <w:basedOn w:val="Normal"/>
    <w:link w:val="PiedepginaCar"/>
    <w:uiPriority w:val="99"/>
    <w:unhideWhenUsed/>
    <w:rsid w:val="009F7EF4"/>
    <w:pPr>
      <w:tabs>
        <w:tab w:val="center" w:pos="4680"/>
        <w:tab w:val="right" w:pos="9360"/>
      </w:tabs>
    </w:pPr>
  </w:style>
  <w:style w:type="character" w:customStyle="1" w:styleId="PiedepginaCar">
    <w:name w:val="Pie de página Car"/>
    <w:basedOn w:val="Fuentedeprrafopredeter"/>
    <w:link w:val="Piedepgina"/>
    <w:uiPriority w:val="99"/>
    <w:rsid w:val="009F7EF4"/>
    <w:rPr>
      <w:rFonts w:ascii="Verdana" w:eastAsia="Batang" w:hAnsi="Verdana" w:cs="Times"/>
      <w:sz w:val="16"/>
      <w:szCs w:val="24"/>
      <w:lang w:val="es-ES_tradnl"/>
    </w:rPr>
  </w:style>
  <w:style w:type="character" w:customStyle="1" w:styleId="apple-style-span">
    <w:name w:val="apple-style-span"/>
    <w:basedOn w:val="Fuentedeprrafopredeter"/>
    <w:rsid w:val="009F7EF4"/>
  </w:style>
  <w:style w:type="paragraph" w:styleId="Prrafodelista">
    <w:name w:val="List Paragraph"/>
    <w:aliases w:val="Footnote,List Paragraph1,Colorful List - Accent 11,Párrafo de lista1,List Paragraph2,Lista vistosa - Énfasis 11"/>
    <w:basedOn w:val="Normal"/>
    <w:link w:val="PrrafodelistaCar"/>
    <w:uiPriority w:val="99"/>
    <w:qFormat/>
    <w:rsid w:val="00296F77"/>
    <w:pPr>
      <w:ind w:left="720"/>
      <w:contextualSpacing/>
    </w:pPr>
  </w:style>
  <w:style w:type="character" w:customStyle="1" w:styleId="PrrafodelistaCar">
    <w:name w:val="Párrafo de lista Car"/>
    <w:aliases w:val="Footnote Car,List Paragraph1 Car,Colorful List - Accent 11 Car,Párrafo de lista1 Car,List Paragraph2 Car,Lista vistosa - Énfasis 11 Car"/>
    <w:link w:val="Prrafodelista"/>
    <w:uiPriority w:val="99"/>
    <w:rsid w:val="00BC5824"/>
    <w:rPr>
      <w:rFonts w:ascii="Verdana" w:eastAsia="Batang" w:hAnsi="Verdana" w:cs="Times"/>
      <w:sz w:val="16"/>
      <w:szCs w:val="24"/>
      <w:lang w:val="es-ES_tradnl"/>
    </w:rPr>
  </w:style>
  <w:style w:type="paragraph" w:styleId="Textonotapie">
    <w:name w:val="footnote text"/>
    <w:aliases w:val="Footnote Text Char Char Char Char Char,Footnote Text Char Char Char Char,Footnote reference,FA Fu,Footnote Text Char Char Char,Footnote Text Cha,FA Fußnotentext,FA Fuﬂnotentext,Footnote Text Char Char,FA Fu?notentext,Ca,FA Fu?notente,C,ft"/>
    <w:basedOn w:val="Normal"/>
    <w:link w:val="TextonotapieCar"/>
    <w:qFormat/>
    <w:rsid w:val="00926FFB"/>
    <w:pPr>
      <w:jc w:val="both"/>
    </w:pPr>
    <w:rPr>
      <w:rFonts w:eastAsia="Times" w:cs="Times New Roman"/>
      <w:szCs w:val="20"/>
      <w:lang w:val="en-US" w:eastAsia="x-none"/>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ﬂnotentext Car,FA Fu?notentext Car,C Car"/>
    <w:basedOn w:val="Fuentedeprrafopredeter"/>
    <w:link w:val="Textonotapie"/>
    <w:rsid w:val="00926FFB"/>
    <w:rPr>
      <w:rFonts w:ascii="Verdana" w:eastAsia="Times" w:hAnsi="Verdana" w:cs="Times New Roman"/>
      <w:sz w:val="16"/>
      <w:szCs w:val="20"/>
      <w:lang w:eastAsia="x-none"/>
    </w:rPr>
  </w:style>
  <w:style w:type="character" w:styleId="Refdenotaalpie">
    <w:name w:val="footnote reference"/>
    <w:aliases w:val="Texto de nota al pie,Footnotes refss,Appel note de bas de page,Footnote number,referencia nota al pie,BVI fnr,f,4_G,16 Point,Superscript 6 Point,Texto nota al pie,Footnote Reference Char3,Footnote Reference Char1 Char,Ref. de nota al"/>
    <w:qFormat/>
    <w:rsid w:val="00926FF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240</Words>
  <Characters>1323</Characters>
  <Application>Microsoft Office Word</Application>
  <DocSecurity>0</DocSecurity>
  <Lines>11</Lines>
  <Paragraphs>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"Corte IDH" &lt;corteidh@corteidh.or.cr&gt;</dc:creator>
  <cp:lastModifiedBy>Romina Troconis</cp:lastModifiedBy>
  <cp:revision>4</cp:revision>
  <cp:lastPrinted>2022-01-18T15:48:00Z</cp:lastPrinted>
  <dcterms:created xsi:type="dcterms:W3CDTF">2021-06-25T16:30:00Z</dcterms:created>
  <dcterms:modified xsi:type="dcterms:W3CDTF">2022-01-18T15:48:00Z</dcterms:modified>
</cp:coreProperties>
</file>